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F7" w:rsidRPr="00D44C3E" w:rsidRDefault="001F48F7" w:rsidP="001F48F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</w:p>
    <w:p w:rsidR="001F48F7" w:rsidRPr="006119C7" w:rsidRDefault="001F48F7" w:rsidP="001F48F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F48F7" w:rsidRPr="006119C7" w:rsidRDefault="001F48F7" w:rsidP="001F48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G Ł O S Z E N I E</w:t>
      </w:r>
    </w:p>
    <w:p w:rsidR="001F48F7" w:rsidRPr="006119C7" w:rsidRDefault="001F48F7" w:rsidP="001F48F7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podstawie art. 30 ust. 1 i ust. 2 pkt 2 ustawy z dnia 8 marca 1990 r. 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samorządzie gminnym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(Dz. U. z 2016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446) 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 13 ustawy z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dnia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24 kwietnia 2003 r. o działalności pożytku publicznego 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wolontariacie (Dz. U. z 2016 r., poz. 239 z 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zm.) oraz Uchwały Nr XI.104.2015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Rady Miejskiej w St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rumieniu z dnia 28 października 2015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r. w sprawie Programu współpracy Gminy Strumień z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organizacjami pozarządowymi oraz podmiotami wymienionymi w art. 3 ust. 3 ustawy o działalności pożytku publicznego 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o wolontariacie na rok 2016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1F48F7" w:rsidRPr="00AB493E" w:rsidRDefault="001F48F7" w:rsidP="001F48F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Strumienia</w:t>
      </w:r>
    </w:p>
    <w:p w:rsidR="001F48F7" w:rsidRPr="006119C7" w:rsidRDefault="001F48F7" w:rsidP="001F48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ogłasza otwarty konkurs ofert na realizację zadań publicznych w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2016 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roku</w:t>
      </w:r>
    </w:p>
    <w:p w:rsidR="001F48F7" w:rsidRPr="006119C7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F48F7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I. Rodzaj zadań i wysokość środków publicznych przeznaczonych na ich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realizację:</w:t>
      </w:r>
    </w:p>
    <w:p w:rsidR="001F48F7" w:rsidRPr="003D6BBB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D6BB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Wspieranie i upowszechnianie kultury fizycznej</w:t>
      </w:r>
      <w:r w:rsidRPr="003D6BB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</w:t>
      </w:r>
      <w:r w:rsidRPr="003D6BB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3 690,00 zł</w:t>
      </w:r>
    </w:p>
    <w:p w:rsidR="001F48F7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F48F7" w:rsidRPr="00AB493E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 Zasady przyznawania dotacji:</w:t>
      </w:r>
    </w:p>
    <w:p w:rsidR="001F48F7" w:rsidRPr="006121F5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>
        <w:rPr>
          <w:rFonts w:ascii="Tahoma" w:eastAsia="Arial" w:hAnsi="Tahoma" w:cs="Tahoma"/>
          <w:b/>
          <w:color w:val="000000"/>
          <w:sz w:val="24"/>
          <w:szCs w:val="24"/>
          <w:lang w:eastAsia="pl-PL"/>
        </w:rPr>
        <w:t>  </w:t>
      </w:r>
      <w:r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W otwartym konkursie mogą uczestniczyć organizacje pozarządowe oraz inne podmioty wymienione w art. 3 ust. 3 ustawy z dnia 24 kwietnia 2003 r. o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działalności pożytku publicznego i o wolontariacie, które prowadzą działalność statutową w obszarze objętym konkursem.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Zlecanie realizacji zadania nastąpi w formie wsparcia wykonywania zadania publicznego, wraz z udzieleniem dotacji na dofinansowanie jego realizacji.  </w:t>
      </w:r>
    </w:p>
    <w:p w:rsidR="001F48F7" w:rsidRPr="005E1915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Wysokość przyznanej dotacji na jedną ofertę nie może przekroczyć 90 % całkowitych kosztów projektu. </w:t>
      </w:r>
    </w:p>
    <w:p w:rsidR="001F48F7" w:rsidRPr="005E1915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Dopuszczalny jest każdy rodzaj wkładu własnego – finansowy lub niefinansowy (osobowy). 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Dotacja może zostać przyznana jednemu podmiotowi wyłonionemu w drodze otwartego konkursu ofert.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Wysokość przyznanej dotacji może być niższa, niż wnioskowana w ofercie.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takim przypadku podmiot wyłoniony w drodze otwartego konkursu ofert może negocjować zmniejszenie zakresu rzeczowego zadania lub zrezygnować z jego realizacji.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7. Przyznanie dotacji w wysokości niższej niż określona w ofercie wymaga korekty harmonogramu realizacji zadania i kosztorysu projektu.</w:t>
      </w:r>
    </w:p>
    <w:p w:rsidR="001F48F7" w:rsidRPr="006119C7" w:rsidRDefault="001F48F7" w:rsidP="001F48F7">
      <w:pPr>
        <w:tabs>
          <w:tab w:val="num" w:pos="360"/>
        </w:tabs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8.  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Dotacja celowa przekazywana będzie z budżetu Gminy Strumień na rzecz podmiotu wyłonionego w drodze otwartego konkursu ofert na podstawie umowy określonej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art. 16 ustawy o działalności pożytku publicznego i o wolontariacie, z uwzględnieniem rozporządzenia Ministra Pracy i Polityki Społecznej z dnia 15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grudnia 2010 r. w sprawie wzoru oferty i ramowego wzoru umowy dotyczących realizacji zadania publicznego oraz wzoru sprawozdania z wykonania tego zadania (Dz. U. z 2011 r. nr 6 poz. 25).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Środki uzyskane z dotacji na realizację zadań publicznych mogą być wykorzystywane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szczególności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na:</w:t>
      </w:r>
    </w:p>
    <w:p w:rsidR="001F48F7" w:rsidRPr="006119C7" w:rsidRDefault="001F48F7" w:rsidP="001F48F7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a) zakup materiałów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np.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artykuły spożywcze,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puchary, medale, dyplomy,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nagrody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sprzęt niezbędny do realizacji zadania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 </w:t>
      </w:r>
    </w:p>
    <w:p w:rsidR="001F48F7" w:rsidRPr="006119C7" w:rsidRDefault="001F48F7" w:rsidP="001F48F7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b) zakup usług np. wydawnicze, pocztowe, kserograficzne, transport, wynajem obiektów, urządzeń, sprzętu, zakwaterowanie, wyżywienie;</w:t>
      </w:r>
    </w:p>
    <w:p w:rsidR="001F48F7" w:rsidRPr="006119C7" w:rsidRDefault="001F48F7" w:rsidP="001F48F7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c) koszty osobowe realizacji zadania np. 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bsługa szkoleniowa, techniczna,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organizacyjna,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sędziowska, medyczna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1F48F7" w:rsidRPr="006119C7" w:rsidRDefault="001F48F7" w:rsidP="001F48F7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d) inne koszty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niezbędne do realizacji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zadania, np. ubezpieczenie, media,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promocja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10.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Wydatki nie mogą przekraczać wysokości zwykle ponoszonych przez podmiot realizujący zadanie, zaś stawki nie mogą przekraczać powszechnie obowiązujących na rynku.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11.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Środki uzyskane z dotacji nie mogą być wykorzystane na: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zakup gruntów, lokali lub budynków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1F48F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działalność gospodarczą;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c) działalność polityczną i religijną;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 pokrycie bieżącej działalności wykonawcy, przekraczające potrzeby obsługi zadania, 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 została udzielona dotacja;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spłatę odsetek i kredytów.</w:t>
      </w:r>
    </w:p>
    <w:p w:rsidR="001F48F7" w:rsidRPr="003D6BBB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F48F7" w:rsidRPr="00AB493E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III. Termin i warunki realizacji zadania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Zadanie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finansowane dotacją z budżetu Gmi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ny Strumień wyłoniony podmiot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może realizować w okresie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od 01 lipca 2016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 do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15 grudnia 2016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</w:p>
    <w:p w:rsidR="001F48F7" w:rsidRPr="006119C7" w:rsidRDefault="001F48F7" w:rsidP="001F48F7">
      <w:pPr>
        <w:spacing w:after="0" w:line="240" w:lineRule="auto"/>
        <w:ind w:left="9" w:right="249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 realizacji zadania:</w:t>
      </w:r>
    </w:p>
    <w:p w:rsidR="001F48F7" w:rsidRPr="005E1915" w:rsidRDefault="001F48F7" w:rsidP="001F48F7">
      <w:pPr>
        <w:pStyle w:val="Akapitzlist"/>
        <w:numPr>
          <w:ilvl w:val="0"/>
          <w:numId w:val="3"/>
        </w:numPr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zadanie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musi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być realizowane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wyłącznie na obszarze gminy Strumień,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1F48F7" w:rsidRPr="006119C7" w:rsidRDefault="001F48F7" w:rsidP="001F48F7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kosztów kwalifikowanych będą zaliczane tylko wydatki poniesione po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podpisaniu umowy,</w:t>
      </w:r>
    </w:p>
    <w:p w:rsidR="001F48F7" w:rsidRPr="009A1175" w:rsidRDefault="001F48F7" w:rsidP="001F48F7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szczegółowe warunki realizacji zadań zostaną określone w umowie 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zadania.</w:t>
      </w:r>
    </w:p>
    <w:p w:rsidR="001F48F7" w:rsidRPr="006119C7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F48F7" w:rsidRPr="00AB493E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IV.  Termin składania ofert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Warunkiem przystąpienia do konkursu jest złożenie w f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ormie pisemnej oferty zgodnej z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wzorem określonym w rozporządzeniu, o którym mowa w cz. II ogłoszenia w ust. 8.  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oferty winny być załączone następujące dokumenty: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aktualny odpis z Krajowego Rejestru Sądowego, innego rejestru lub ewidencji,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w przypadku wyboru innego sposobu reprezentacji podmiotów składających ofertę wspólną niż wynikający z Krajowego Rejestru Sadowego lub innego właściwego rejestru – dokument potwierdzający upoważnienie do działania w imieniu oferenta (-ów)</w:t>
      </w:r>
    </w:p>
    <w:p w:rsidR="001F48F7" w:rsidRPr="006119C7" w:rsidRDefault="001F48F7" w:rsidP="001F48F7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okumenty winny być przedłożone w oryginale lub w postaci kserokopii z potwierdzeniem jej zgodności z oryginałem przez podmiot składający ofertę.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 przypadku odpisu z Krajowego Rejestru Sądowego można przedłożyć wydruk ze strony Ministerstwa Sprawiedliwości ems.ms.gov.pl nie wymagający podpisu. 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3.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Oferty należy składać do dnia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30 maja 2016 r. do godz. 15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.30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ezpośrednio do Biura Obsługi Klienta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Urzędu Miejskiego w Strumieniu ( parter pok.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lub za pośrednictwem poczty. W 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przypadku ofert składanych drogą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pocztową decyduje data wpływu do Urzędu Miejskiego w Strumieniu.</w:t>
      </w:r>
    </w:p>
    <w:p w:rsidR="001F48F7" w:rsidRPr="006119C7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F48F7" w:rsidRPr="00AB493E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 Termin, tryb i kryteria stosowane przy wyborze oferty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Wybór oferty zostanie dokonany w ciągu 30 dni od upływu terminu składania ofert.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Wstępnej oceny formalnej złożonych ofert dokonuje pracownik merytoryczny, do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którego zadań należą sprawy organizacji pozarządowych.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lastRenderedPageBreak/>
        <w:t>3.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Komisja konkursowa zaopiniuje oferty w oparciu o przepisy ustawy z dnia 24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kwietnia 2003 r. o działalności pożytku publicznego i o wolontariacie oraz kryteria podane w treści niniejszego ogłoszenia.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4.   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Oferty nie spełniające wymagań konkursowych podlegają odrzuceniu.</w:t>
      </w:r>
    </w:p>
    <w:p w:rsidR="001F48F7" w:rsidRPr="006119C7" w:rsidRDefault="001F48F7" w:rsidP="001F48F7">
      <w:pPr>
        <w:shd w:val="clear" w:color="auto" w:fill="FFFFFF"/>
        <w:tabs>
          <w:tab w:val="num" w:pos="360"/>
        </w:tabs>
        <w:spacing w:before="5"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5.   </w:t>
      </w:r>
      <w:r w:rsidRPr="006119C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 dokonywaniu oceny merytorycznej ofert komisja stosuje następujące kryteria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:,</w:t>
      </w:r>
    </w:p>
    <w:p w:rsidR="001F48F7" w:rsidRPr="006119C7" w:rsidRDefault="001F48F7" w:rsidP="001F48F7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a)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spełnienie wymogów formalnych,</w:t>
      </w:r>
    </w:p>
    <w:p w:rsidR="001F48F7" w:rsidRPr="006119C7" w:rsidRDefault="001F48F7" w:rsidP="001F48F7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b)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zgodność treści oferty z zadaniem konkursowym,</w:t>
      </w:r>
    </w:p>
    <w:p w:rsidR="001F48F7" w:rsidRPr="006119C7" w:rsidRDefault="001F48F7" w:rsidP="001F48F7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c)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możliwości realizacji zadania (posiadane zasoby kadrowe, rzeczowe doświadczenie),</w:t>
      </w:r>
    </w:p>
    <w:p w:rsidR="001F48F7" w:rsidRPr="006119C7" w:rsidRDefault="001F48F7" w:rsidP="001F48F7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d)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kalkulacji kosztów realizacji zadania, w tym w odniesieniu do zakresu rzeczowego zadania,</w:t>
      </w:r>
    </w:p>
    <w:p w:rsidR="001F48F7" w:rsidRPr="006119C7" w:rsidRDefault="001F48F7" w:rsidP="001F48F7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e) 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merytoryczna wartość oferty.</w:t>
      </w:r>
    </w:p>
    <w:p w:rsidR="001F48F7" w:rsidRPr="006119C7" w:rsidRDefault="001F48F7" w:rsidP="001F48F7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6.  </w:t>
      </w:r>
      <w:r w:rsidRPr="006119C7">
        <w:rPr>
          <w:rFonts w:ascii="Tahoma" w:eastAsia="Times New Roman" w:hAnsi="Tahoma" w:cs="Tahoma"/>
          <w:color w:val="000000"/>
          <w:spacing w:val="-1"/>
          <w:sz w:val="24"/>
          <w:szCs w:val="24"/>
          <w:lang w:eastAsia="pl-PL"/>
        </w:rPr>
        <w:t xml:space="preserve">Burmistrz po zapoznaniu się z przedstawioną przez komisję konkursową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opinią podejmuje ostateczną decyzję o wyborze oferty i o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 udzielonej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dotacji.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7.  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o wyborze ofert do realizacji przyjmuje formę zarządzenia Burmistrza Strumienia.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8.</w:t>
      </w:r>
      <w:r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Zarządzenie, o którym mowa w ust. 7 niezwłocznie ogłasza się w Biuletynie Informacji Publicznej </w:t>
      </w:r>
      <w:hyperlink r:id="rId6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www.strumien.bip.net.pl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,, na tablicy ogłoszeń Urzędu Miejskiego w Strumieniu oraz na stronie internetowej Urzędu Miejskiego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Strumieniu </w:t>
      </w:r>
      <w:hyperlink r:id="rId7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1F48F7" w:rsidRPr="006119C7" w:rsidRDefault="001F48F7" w:rsidP="001F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9.   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 podjętych decyzji o wyborze lub odrzuceniu ofert nie przysługuje odwołanie.</w:t>
      </w:r>
    </w:p>
    <w:p w:rsidR="001F48F7" w:rsidRPr="006119C7" w:rsidRDefault="001F48F7" w:rsidP="001F48F7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 xml:space="preserve">10. 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Burmistrz Strumienia unieważnia otwarty konkurs ofert, jeżeli: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1F48F7" w:rsidRPr="006119C7" w:rsidRDefault="001F48F7" w:rsidP="001F48F7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nie złożono żadnej oferty,</w:t>
      </w:r>
    </w:p>
    <w:p w:rsidR="001F48F7" w:rsidRPr="006119C7" w:rsidRDefault="001F48F7" w:rsidP="001F48F7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 żadna ze złożonych ofert nie spełnia wymogów zawartych w ogłoszeniu.</w:t>
      </w:r>
    </w:p>
    <w:p w:rsidR="001F48F7" w:rsidRPr="006119C7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F48F7" w:rsidRPr="00AB493E" w:rsidRDefault="001F48F7" w:rsidP="001F48F7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 Zrealizowane przez organ administracji publicznej w roku ogłoszenia otwartego konkursu ofert i w roku poprzednim zadania publiczne tego samego rodzaju oraz wysokość środków publicznych na realizację tych zadań: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</w:p>
    <w:p w:rsidR="001F48F7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1F48F7" w:rsidRPr="0004650D" w:rsidRDefault="001F48F7" w:rsidP="001F48F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04650D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w 2015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843"/>
      </w:tblGrid>
      <w:tr w:rsidR="001F48F7" w:rsidRPr="006119C7" w:rsidTr="002B6614">
        <w:trPr>
          <w:trHeight w:val="2022"/>
        </w:trPr>
        <w:tc>
          <w:tcPr>
            <w:tcW w:w="7621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Trampkarzy o Puchar Przewodniczącego Rady Miejskiej</w:t>
            </w:r>
          </w:p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Organizacja Turnieju Piłki Nożnej Juniorów </w:t>
            </w:r>
          </w:p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Puchar Przewodniczącego Rady Miejskiej</w:t>
            </w:r>
          </w:p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Seniorów o Puchar Burmistrza Strumienia</w:t>
            </w:r>
          </w:p>
          <w:p w:rsidR="001F48F7" w:rsidRPr="006119C7" w:rsidRDefault="001F48F7" w:rsidP="002B661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Miejsko Gminne Zawody Sportowo – Pożarnicze </w:t>
            </w:r>
          </w:p>
        </w:tc>
        <w:tc>
          <w:tcPr>
            <w:tcW w:w="1843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4 610,00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5 335,00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9 940,00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1 490,00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F48F7" w:rsidRPr="006119C7" w:rsidTr="002B6614">
        <w:trPr>
          <w:trHeight w:val="280"/>
        </w:trPr>
        <w:tc>
          <w:tcPr>
            <w:tcW w:w="7621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Strażacki Turniej Siatkarski</w:t>
            </w:r>
          </w:p>
        </w:tc>
        <w:tc>
          <w:tcPr>
            <w:tcW w:w="1843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1 650,00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F48F7" w:rsidRPr="006119C7" w:rsidTr="002B6614">
        <w:trPr>
          <w:trHeight w:val="419"/>
        </w:trPr>
        <w:tc>
          <w:tcPr>
            <w:tcW w:w="7621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Turniej Mikołajkowy </w:t>
            </w:r>
          </w:p>
        </w:tc>
        <w:tc>
          <w:tcPr>
            <w:tcW w:w="1843" w:type="dxa"/>
            <w:shd w:val="clear" w:color="auto" w:fill="auto"/>
          </w:tcPr>
          <w:p w:rsidR="001F48F7" w:rsidRPr="006119C7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2 000,00 zł</w:t>
            </w:r>
          </w:p>
        </w:tc>
      </w:tr>
    </w:tbl>
    <w:p w:rsidR="001F48F7" w:rsidRDefault="001F48F7" w:rsidP="001F48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1F48F7" w:rsidRPr="00271B25" w:rsidRDefault="001F48F7" w:rsidP="001F48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04650D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w </w:t>
      </w:r>
      <w:r w:rsidRPr="00271B25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2016 r.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7621"/>
        <w:gridCol w:w="1843"/>
      </w:tblGrid>
      <w:tr w:rsidR="001F48F7" w:rsidRPr="00271B25" w:rsidTr="002B6614">
        <w:trPr>
          <w:trHeight w:val="329"/>
        </w:trPr>
        <w:tc>
          <w:tcPr>
            <w:tcW w:w="7621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Strażacki Turniej Siatkarski</w:t>
            </w:r>
          </w:p>
        </w:tc>
        <w:tc>
          <w:tcPr>
            <w:tcW w:w="1843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1 597,50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F48F7" w:rsidRPr="00271B25" w:rsidTr="002B6614">
        <w:tc>
          <w:tcPr>
            <w:tcW w:w="7621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Miejsko – Gminne Zawody Sportowo - Pożarnicze</w:t>
            </w:r>
          </w:p>
        </w:tc>
        <w:tc>
          <w:tcPr>
            <w:tcW w:w="1843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1 512,00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F48F7" w:rsidRPr="00271B25" w:rsidTr="002B6614">
        <w:tc>
          <w:tcPr>
            <w:tcW w:w="7621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Miejsko – Gminne Zawody Sportowo – Pożarnicze Młodzieżowych Drużyn Pożarniczych</w:t>
            </w:r>
          </w:p>
        </w:tc>
        <w:tc>
          <w:tcPr>
            <w:tcW w:w="1843" w:type="dxa"/>
            <w:shd w:val="clear" w:color="auto" w:fill="auto"/>
          </w:tcPr>
          <w:p w:rsidR="001F48F7" w:rsidRPr="00271B25" w:rsidRDefault="001F48F7" w:rsidP="002B6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71B2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2 196,00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1F48F7" w:rsidRPr="006119C7" w:rsidRDefault="001F48F7" w:rsidP="001F48F7">
      <w:pPr>
        <w:jc w:val="both"/>
        <w:rPr>
          <w:rFonts w:ascii="Tahoma" w:hAnsi="Tahoma" w:cs="Tahoma"/>
          <w:sz w:val="24"/>
          <w:szCs w:val="24"/>
        </w:rPr>
      </w:pPr>
    </w:p>
    <w:p w:rsidR="00C31D6D" w:rsidRDefault="00C31D6D"/>
    <w:sectPr w:rsidR="00C31D6D" w:rsidSect="005A6C15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A9"/>
    <w:multiLevelType w:val="multilevel"/>
    <w:tmpl w:val="6940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7B31"/>
    <w:multiLevelType w:val="hybridMultilevel"/>
    <w:tmpl w:val="0A0CEE38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6EB97C70"/>
    <w:multiLevelType w:val="multilevel"/>
    <w:tmpl w:val="45403DA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D"/>
    <w:rsid w:val="001F48F7"/>
    <w:rsid w:val="005377BD"/>
    <w:rsid w:val="00C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umi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mien.bip.ne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2</cp:revision>
  <dcterms:created xsi:type="dcterms:W3CDTF">2016-04-15T06:57:00Z</dcterms:created>
  <dcterms:modified xsi:type="dcterms:W3CDTF">2016-04-15T06:57:00Z</dcterms:modified>
</cp:coreProperties>
</file>